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kern w:val="44"/>
          <w:sz w:val="24"/>
          <w:szCs w:val="24"/>
        </w:rPr>
      </w:pPr>
      <w:bookmarkStart w:id="0" w:name="_Toc29808_WPSOffice_Level1"/>
      <w:bookmarkStart w:id="1" w:name="_Toc4503"/>
      <w:bookmarkStart w:id="2" w:name="_Toc5740"/>
      <w:bookmarkStart w:id="3" w:name="_Toc13968"/>
      <w:bookmarkStart w:id="4" w:name="_Toc300214661"/>
      <w:bookmarkStart w:id="5" w:name="_Toc18129"/>
      <w:bookmarkStart w:id="6" w:name="_Toc26434"/>
      <w:bookmarkStart w:id="7" w:name="_Toc16558"/>
      <w:bookmarkStart w:id="8" w:name="_Toc18207"/>
      <w:bookmarkStart w:id="9" w:name="_Toc55995268"/>
      <w:bookmarkStart w:id="10" w:name="_Toc22352"/>
      <w:r>
        <w:rPr>
          <w:rFonts w:hint="eastAsia" w:ascii="宋体" w:hAnsi="宋体" w:eastAsia="宋体" w:cs="宋体"/>
          <w:kern w:val="44"/>
          <w:sz w:val="24"/>
          <w:szCs w:val="24"/>
        </w:rPr>
        <w:t>附件2</w:t>
      </w:r>
    </w:p>
    <w:p>
      <w:pPr>
        <w:widowControl/>
        <w:jc w:val="center"/>
        <w:rPr>
          <w:rFonts w:ascii="宋体" w:hAnsi="宋体" w:eastAsia="宋体" w:cs="宋体"/>
          <w:b/>
          <w:bCs/>
          <w:kern w:val="44"/>
          <w:sz w:val="32"/>
          <w:szCs w:val="32"/>
        </w:rPr>
      </w:pPr>
      <w:r>
        <w:rPr>
          <w:rFonts w:hint="eastAsia" w:ascii="宋体" w:hAnsi="宋体" w:eastAsia="宋体" w:cs="宋体"/>
          <w:b/>
          <w:bCs/>
          <w:kern w:val="44"/>
          <w:sz w:val="32"/>
          <w:szCs w:val="32"/>
        </w:rPr>
        <w:t>评选方法</w:t>
      </w:r>
      <w:bookmarkEnd w:id="0"/>
      <w:bookmarkEnd w:id="1"/>
      <w:bookmarkEnd w:id="2"/>
      <w:bookmarkEnd w:id="3"/>
      <w:bookmarkEnd w:id="4"/>
      <w:bookmarkEnd w:id="5"/>
      <w:bookmarkEnd w:id="6"/>
      <w:bookmarkEnd w:id="7"/>
      <w:bookmarkEnd w:id="8"/>
      <w:bookmarkEnd w:id="9"/>
      <w:bookmarkEnd w:id="10"/>
    </w:p>
    <w:p>
      <w:pPr>
        <w:pStyle w:val="2"/>
        <w:rPr>
          <w:rFonts w:ascii="宋体" w:hAnsi="宋体" w:eastAsia="宋体"/>
          <w:b w:val="0"/>
          <w:color w:val="000000"/>
        </w:rPr>
      </w:pPr>
      <w:bookmarkStart w:id="11" w:name="_Toc15004_WPSOffice_Level1"/>
      <w:r>
        <w:rPr>
          <w:rFonts w:hint="eastAsia" w:ascii="宋体" w:hAnsi="宋体" w:eastAsia="宋体"/>
          <w:color w:val="000000"/>
        </w:rPr>
        <w:t>1.总则</w:t>
      </w:r>
      <w:bookmarkEnd w:id="11"/>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1.1比选方将根据比选服务特点组建评选委员会，采取综合评分法。</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1.2评选工作应遵循公平、公正、科学及择优的原则，并以相同的评选程序和标准对待所有的比选申请人。</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1.3评选委员会按照比选文件规定的评选方法和标准进行评选，并独立履行下列职责：</w:t>
      </w:r>
    </w:p>
    <w:p>
      <w:pPr>
        <w:spacing w:line="360" w:lineRule="auto"/>
        <w:ind w:firstLine="480"/>
        <w:rPr>
          <w:rFonts w:ascii="宋体" w:hAnsi="宋体" w:eastAsia="宋体"/>
          <w:color w:val="000000"/>
          <w:sz w:val="24"/>
        </w:rPr>
      </w:pPr>
      <w:r>
        <w:rPr>
          <w:rFonts w:hint="eastAsia" w:ascii="宋体" w:hAnsi="宋体" w:eastAsia="宋体"/>
          <w:color w:val="000000"/>
          <w:sz w:val="24"/>
        </w:rPr>
        <w:t>（1）审查比选申请文件是否符合比选文件要求，并作出评价；</w:t>
      </w:r>
    </w:p>
    <w:p>
      <w:pPr>
        <w:spacing w:line="360" w:lineRule="auto"/>
        <w:ind w:firstLine="480"/>
        <w:rPr>
          <w:rFonts w:ascii="宋体" w:hAnsi="宋体" w:eastAsia="宋体"/>
          <w:color w:val="000000"/>
          <w:sz w:val="24"/>
        </w:rPr>
      </w:pPr>
      <w:r>
        <w:rPr>
          <w:rFonts w:hint="eastAsia" w:ascii="宋体" w:hAnsi="宋体" w:eastAsia="宋体"/>
          <w:color w:val="000000"/>
          <w:sz w:val="24"/>
        </w:rPr>
        <w:t>（2）要求比选申请人对比选申请文件有关事项作出解释或者澄清；</w:t>
      </w:r>
    </w:p>
    <w:p>
      <w:pPr>
        <w:spacing w:line="360" w:lineRule="auto"/>
        <w:ind w:firstLine="480"/>
        <w:rPr>
          <w:rFonts w:ascii="宋体" w:hAnsi="宋体" w:eastAsia="宋体"/>
          <w:color w:val="000000"/>
          <w:sz w:val="24"/>
        </w:rPr>
      </w:pPr>
      <w:r>
        <w:rPr>
          <w:rFonts w:hint="eastAsia" w:ascii="宋体" w:hAnsi="宋体" w:eastAsia="宋体"/>
          <w:color w:val="000000"/>
          <w:sz w:val="24"/>
        </w:rPr>
        <w:t>（3）推荐中选候选比选申请人名单；</w:t>
      </w:r>
    </w:p>
    <w:p>
      <w:pPr>
        <w:spacing w:line="360" w:lineRule="auto"/>
        <w:ind w:firstLine="480"/>
        <w:rPr>
          <w:rFonts w:ascii="宋体" w:hAnsi="宋体" w:eastAsia="宋体"/>
          <w:color w:val="000000"/>
          <w:sz w:val="24"/>
        </w:rPr>
      </w:pPr>
      <w:r>
        <w:rPr>
          <w:rFonts w:hint="eastAsia" w:ascii="宋体" w:hAnsi="宋体" w:eastAsia="宋体"/>
          <w:color w:val="000000"/>
          <w:sz w:val="24"/>
        </w:rPr>
        <w:t>（4）向比选人或者有关部门报告非法干预评选工作的行为。</w:t>
      </w:r>
      <w:bookmarkStart w:id="12" w:name="_Toc217446098"/>
    </w:p>
    <w:p>
      <w:pPr>
        <w:pStyle w:val="2"/>
        <w:rPr>
          <w:rFonts w:ascii="宋体" w:hAnsi="宋体" w:eastAsia="宋体"/>
          <w:color w:val="000000"/>
        </w:rPr>
      </w:pPr>
      <w:bookmarkStart w:id="13" w:name="_Toc24301_WPSOffice_Level1"/>
      <w:r>
        <w:rPr>
          <w:rFonts w:hint="eastAsia" w:ascii="宋体" w:hAnsi="宋体" w:eastAsia="宋体"/>
          <w:color w:val="000000"/>
        </w:rPr>
        <w:t>2.评选程序</w:t>
      </w:r>
      <w:bookmarkEnd w:id="12"/>
      <w:bookmarkEnd w:id="13"/>
    </w:p>
    <w:p>
      <w:pPr>
        <w:spacing w:line="360" w:lineRule="auto"/>
        <w:ind w:firstLine="480"/>
        <w:rPr>
          <w:rFonts w:ascii="宋体" w:hAnsi="宋体" w:eastAsia="宋体"/>
          <w:color w:val="000000"/>
          <w:sz w:val="24"/>
        </w:rPr>
      </w:pPr>
      <w:bookmarkStart w:id="14" w:name="_Toc217446099"/>
      <w:r>
        <w:rPr>
          <w:rFonts w:hint="eastAsia" w:ascii="宋体" w:hAnsi="宋体" w:eastAsia="宋体"/>
          <w:color w:val="000000"/>
          <w:sz w:val="24"/>
        </w:rPr>
        <w:t>2.1比选申请文件初审。初步审分为资格性检查和符合性检查（审查表附后）。</w:t>
      </w:r>
    </w:p>
    <w:p>
      <w:pPr>
        <w:spacing w:line="360" w:lineRule="auto"/>
        <w:ind w:firstLine="480"/>
        <w:rPr>
          <w:rFonts w:ascii="宋体" w:hAnsi="宋体" w:eastAsia="宋体"/>
          <w:color w:val="000000"/>
          <w:sz w:val="24"/>
        </w:rPr>
      </w:pPr>
      <w:r>
        <w:rPr>
          <w:rFonts w:hint="eastAsia" w:ascii="宋体" w:hAnsi="宋体" w:eastAsia="宋体"/>
          <w:color w:val="000000"/>
          <w:sz w:val="24"/>
        </w:rPr>
        <w:t>2.2澄清有关问题。对比选申请文件中含义不明确、同类问题表述不一致或者有明显文字和计算错误的内容，评选委员会可以书面形式（应当由评选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360" w:lineRule="auto"/>
        <w:ind w:firstLine="480"/>
        <w:rPr>
          <w:rFonts w:ascii="宋体" w:hAnsi="宋体" w:eastAsia="宋体"/>
          <w:color w:val="000000"/>
          <w:sz w:val="24"/>
        </w:rPr>
      </w:pPr>
      <w:r>
        <w:rPr>
          <w:rFonts w:hint="eastAsia" w:ascii="宋体" w:hAnsi="宋体" w:eastAsia="宋体"/>
          <w:color w:val="000000"/>
          <w:sz w:val="24"/>
        </w:rPr>
        <w:t>2.3比较与评价。按比选文件中规定的评选方法和标准，对资格性检查和符合性检查合格的比选申请文件进行商务和技术评估，综合比较与评价。</w:t>
      </w:r>
    </w:p>
    <w:p>
      <w:pPr>
        <w:spacing w:line="360" w:lineRule="auto"/>
        <w:ind w:firstLine="480"/>
        <w:rPr>
          <w:rFonts w:ascii="宋体" w:hAnsi="宋体" w:eastAsia="宋体"/>
          <w:color w:val="000000"/>
          <w:sz w:val="24"/>
        </w:rPr>
      </w:pPr>
      <w:r>
        <w:rPr>
          <w:rFonts w:hint="eastAsia" w:ascii="宋体" w:hAnsi="宋体" w:eastAsia="宋体"/>
          <w:color w:val="000000"/>
          <w:sz w:val="24"/>
        </w:rPr>
        <w:t>2.4推荐中选候选人名单。中选候选人数量应当根据项目需要确定，但必须按顺序排列中选候选人。</w:t>
      </w:r>
    </w:p>
    <w:p>
      <w:pPr>
        <w:rPr>
          <w:rFonts w:ascii="宋体" w:hAnsi="宋体" w:eastAsia="宋体"/>
          <w:b/>
          <w:bCs/>
          <w:color w:val="000000"/>
          <w:sz w:val="24"/>
        </w:rPr>
      </w:pPr>
    </w:p>
    <w:p>
      <w:pPr>
        <w:pStyle w:val="6"/>
        <w:jc w:val="center"/>
        <w:rPr>
          <w:rFonts w:ascii="宋体" w:hAnsi="宋体" w:eastAsia="宋体"/>
          <w:b/>
          <w:bCs/>
          <w:color w:val="000000"/>
          <w:sz w:val="24"/>
        </w:rPr>
      </w:pPr>
    </w:p>
    <w:p>
      <w:pPr>
        <w:pStyle w:val="6"/>
        <w:jc w:val="center"/>
        <w:rPr>
          <w:rFonts w:ascii="宋体" w:hAnsi="宋体" w:eastAsia="宋体"/>
          <w:b/>
          <w:bCs/>
          <w:color w:val="000000"/>
          <w:sz w:val="24"/>
        </w:rPr>
      </w:pPr>
    </w:p>
    <w:p>
      <w:pPr>
        <w:pStyle w:val="6"/>
        <w:jc w:val="center"/>
        <w:rPr>
          <w:rFonts w:ascii="宋体" w:hAnsi="宋体" w:eastAsia="宋体"/>
          <w:b/>
          <w:bCs/>
          <w:color w:val="000000"/>
          <w:sz w:val="24"/>
        </w:rPr>
      </w:pPr>
    </w:p>
    <w:p>
      <w:pPr>
        <w:pStyle w:val="6"/>
        <w:jc w:val="center"/>
        <w:rPr>
          <w:rFonts w:ascii="宋体" w:hAnsi="宋体" w:eastAsia="宋体"/>
          <w:b/>
          <w:bCs/>
        </w:rPr>
      </w:pPr>
      <w:r>
        <w:rPr>
          <w:rFonts w:hint="eastAsia" w:ascii="宋体" w:hAnsi="宋体" w:eastAsia="宋体"/>
          <w:b/>
          <w:bCs/>
          <w:color w:val="000000"/>
          <w:sz w:val="24"/>
        </w:rPr>
        <w:t>初步审查表</w:t>
      </w:r>
    </w:p>
    <w:tbl>
      <w:tblPr>
        <w:tblStyle w:val="10"/>
        <w:tblW w:w="963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77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927" w:type="dxa"/>
            <w:tcBorders>
              <w:top w:val="single" w:color="auto" w:sz="8" w:space="0"/>
              <w:left w:val="single" w:color="auto" w:sz="8" w:space="0"/>
              <w:bottom w:val="single" w:color="auto" w:sz="6" w:space="0"/>
              <w:right w:val="single" w:color="auto" w:sz="6" w:space="0"/>
            </w:tcBorders>
            <w:vAlign w:val="center"/>
          </w:tcPr>
          <w:p>
            <w:pPr>
              <w:spacing w:line="360" w:lineRule="auto"/>
              <w:jc w:val="center"/>
              <w:rPr>
                <w:rFonts w:ascii="宋体" w:hAnsi="宋体" w:eastAsia="宋体"/>
                <w:sz w:val="24"/>
              </w:rPr>
            </w:pPr>
            <w:r>
              <w:rPr>
                <w:rFonts w:hint="eastAsia" w:ascii="宋体" w:hAnsi="宋体" w:eastAsia="宋体"/>
                <w:sz w:val="24"/>
              </w:rPr>
              <w:t>评选因素</w:t>
            </w:r>
          </w:p>
        </w:tc>
        <w:tc>
          <w:tcPr>
            <w:tcW w:w="7703" w:type="dxa"/>
            <w:tcBorders>
              <w:top w:val="single" w:color="auto" w:sz="8" w:space="0"/>
              <w:left w:val="single" w:color="auto" w:sz="6" w:space="0"/>
              <w:bottom w:val="single" w:color="auto" w:sz="6" w:space="0"/>
              <w:right w:val="single" w:color="auto" w:sz="8" w:space="0"/>
            </w:tcBorders>
            <w:vAlign w:val="center"/>
          </w:tcPr>
          <w:p>
            <w:pPr>
              <w:spacing w:line="360" w:lineRule="auto"/>
              <w:jc w:val="center"/>
              <w:rPr>
                <w:rFonts w:ascii="宋体" w:hAnsi="宋体" w:eastAsia="宋体"/>
                <w:sz w:val="24"/>
              </w:rPr>
            </w:pPr>
            <w:r>
              <w:rPr>
                <w:rFonts w:hint="eastAsia" w:ascii="宋体" w:hAnsi="宋体" w:eastAsia="宋体"/>
                <w:sz w:val="24"/>
              </w:rPr>
              <w:t>评选标准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restart"/>
            <w:tcBorders>
              <w:top w:val="single" w:color="auto" w:sz="6" w:space="0"/>
              <w:left w:val="single" w:color="auto" w:sz="8" w:space="0"/>
              <w:bottom w:val="single" w:color="auto" w:sz="6" w:space="0"/>
              <w:right w:val="single" w:color="auto" w:sz="6" w:space="0"/>
            </w:tcBorders>
            <w:vAlign w:val="center"/>
          </w:tcPr>
          <w:p>
            <w:pPr>
              <w:spacing w:line="360" w:lineRule="auto"/>
              <w:jc w:val="center"/>
              <w:rPr>
                <w:rFonts w:ascii="宋体" w:hAnsi="宋体" w:eastAsia="宋体"/>
                <w:sz w:val="24"/>
              </w:rPr>
            </w:pPr>
            <w:r>
              <w:rPr>
                <w:rFonts w:hint="eastAsia" w:ascii="宋体" w:hAnsi="宋体" w:eastAsia="宋体"/>
                <w:sz w:val="24"/>
              </w:rPr>
              <w:t>资格性审查</w:t>
            </w:r>
          </w:p>
        </w:tc>
        <w:tc>
          <w:tcPr>
            <w:tcW w:w="7703" w:type="dxa"/>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eastAsia="宋体"/>
                <w:sz w:val="24"/>
              </w:rPr>
            </w:pPr>
            <w:r>
              <w:rPr>
                <w:rFonts w:hint="eastAsia" w:ascii="宋体" w:hAnsi="宋体" w:eastAsia="宋体"/>
                <w:sz w:val="24"/>
              </w:rPr>
              <w:t>提供有效的法定代表人授权委托书或法人身份证明材料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92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sz w:val="24"/>
              </w:rPr>
            </w:pPr>
          </w:p>
        </w:tc>
        <w:tc>
          <w:tcPr>
            <w:tcW w:w="7703" w:type="dxa"/>
            <w:tcBorders>
              <w:top w:val="single" w:color="auto" w:sz="6" w:space="0"/>
              <w:left w:val="single" w:color="auto" w:sz="6" w:space="0"/>
              <w:bottom w:val="single" w:color="auto" w:sz="4" w:space="0"/>
              <w:right w:val="single" w:color="auto" w:sz="8" w:space="0"/>
            </w:tcBorders>
            <w:vAlign w:val="center"/>
          </w:tcPr>
          <w:p>
            <w:pPr>
              <w:spacing w:line="360" w:lineRule="auto"/>
              <w:rPr>
                <w:rFonts w:ascii="宋体" w:hAnsi="宋体" w:eastAsia="宋体"/>
                <w:sz w:val="24"/>
              </w:rPr>
            </w:pPr>
            <w:r>
              <w:rPr>
                <w:rFonts w:hint="eastAsia" w:ascii="宋体" w:hAnsi="宋体" w:eastAsia="宋体" w:cs="宋体"/>
                <w:kern w:val="0"/>
                <w:sz w:val="24"/>
                <w:szCs w:val="24"/>
              </w:rPr>
              <w:t>提供有效的营业执照或法人证书或其他类似效力的证明材料复印件</w:t>
            </w:r>
            <w:r>
              <w:rPr>
                <w:rFonts w:hint="eastAsia" w:ascii="宋体" w:hAnsi="宋体" w:eastAsia="宋体"/>
                <w:sz w:val="24"/>
              </w:rPr>
              <w:t>并加盖比选申请人单位鲜章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92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sz w:val="24"/>
              </w:rPr>
            </w:pPr>
          </w:p>
        </w:tc>
        <w:tc>
          <w:tcPr>
            <w:tcW w:w="7703" w:type="dxa"/>
            <w:tcBorders>
              <w:top w:val="single" w:color="auto" w:sz="6" w:space="0"/>
              <w:left w:val="single" w:color="auto" w:sz="6" w:space="0"/>
              <w:bottom w:val="single" w:color="auto" w:sz="4" w:space="0"/>
              <w:right w:val="single" w:color="auto" w:sz="8" w:space="0"/>
            </w:tcBorders>
            <w:vAlign w:val="center"/>
          </w:tcPr>
          <w:p>
            <w:pPr>
              <w:spacing w:line="360" w:lineRule="auto"/>
              <w:rPr>
                <w:rFonts w:ascii="宋体" w:hAnsi="宋体" w:eastAsia="宋体"/>
                <w:sz w:val="24"/>
              </w:rPr>
            </w:pPr>
            <w:r>
              <w:rPr>
                <w:rFonts w:hint="eastAsia" w:ascii="宋体" w:hAnsi="宋体" w:eastAsia="宋体" w:cs="宋体"/>
                <w:kern w:val="0"/>
                <w:sz w:val="24"/>
                <w:szCs w:val="24"/>
              </w:rPr>
              <w:t>提供满足资格要求的承诺函（格式详见“承诺函”）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2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sz w:val="24"/>
              </w:rPr>
            </w:pPr>
          </w:p>
        </w:tc>
        <w:tc>
          <w:tcPr>
            <w:tcW w:w="7703" w:type="dxa"/>
            <w:tcBorders>
              <w:top w:val="single" w:color="auto" w:sz="6" w:space="0"/>
              <w:left w:val="single" w:color="auto" w:sz="6" w:space="0"/>
              <w:bottom w:val="single" w:color="auto" w:sz="4" w:space="0"/>
              <w:right w:val="single" w:color="auto" w:sz="8" w:space="0"/>
            </w:tcBorders>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不属于联合体参选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927" w:type="dxa"/>
            <w:vMerge w:val="restart"/>
            <w:tcBorders>
              <w:top w:val="single" w:color="auto" w:sz="6" w:space="0"/>
              <w:left w:val="single" w:color="auto" w:sz="8" w:space="0"/>
              <w:bottom w:val="single" w:color="auto" w:sz="6" w:space="0"/>
              <w:right w:val="single" w:color="auto" w:sz="6" w:space="0"/>
            </w:tcBorders>
            <w:vAlign w:val="center"/>
          </w:tcPr>
          <w:p>
            <w:pPr>
              <w:spacing w:line="360" w:lineRule="auto"/>
              <w:jc w:val="center"/>
              <w:rPr>
                <w:rFonts w:ascii="宋体" w:hAnsi="宋体" w:eastAsia="宋体"/>
                <w:sz w:val="24"/>
              </w:rPr>
            </w:pPr>
            <w:r>
              <w:rPr>
                <w:rFonts w:hint="eastAsia" w:ascii="宋体" w:hAnsi="宋体" w:eastAsia="宋体"/>
                <w:sz w:val="24"/>
              </w:rPr>
              <w:t>符合性审查表</w:t>
            </w:r>
          </w:p>
        </w:tc>
        <w:tc>
          <w:tcPr>
            <w:tcW w:w="7703" w:type="dxa"/>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eastAsia="宋体"/>
                <w:sz w:val="24"/>
              </w:rPr>
            </w:pPr>
            <w:r>
              <w:rPr>
                <w:rFonts w:hint="eastAsia" w:ascii="宋体" w:hAnsi="宋体" w:eastAsia="宋体"/>
                <w:sz w:val="24"/>
              </w:rPr>
              <w:t>比选申请文件正副本数量符合比选文件要求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sz w:val="24"/>
              </w:rPr>
            </w:pPr>
          </w:p>
        </w:tc>
        <w:tc>
          <w:tcPr>
            <w:tcW w:w="7703" w:type="dxa"/>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eastAsia="宋体"/>
                <w:sz w:val="24"/>
              </w:rPr>
            </w:pPr>
            <w:r>
              <w:rPr>
                <w:rFonts w:hint="eastAsia" w:ascii="宋体" w:hAnsi="宋体" w:eastAsia="宋体"/>
                <w:sz w:val="24"/>
              </w:rPr>
              <w:t>比选有效期符合比选文件要求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sz w:val="24"/>
              </w:rPr>
            </w:pPr>
          </w:p>
        </w:tc>
        <w:tc>
          <w:tcPr>
            <w:tcW w:w="7703" w:type="dxa"/>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eastAsia="宋体"/>
                <w:sz w:val="24"/>
              </w:rPr>
            </w:pPr>
            <w:r>
              <w:rPr>
                <w:rFonts w:hint="eastAsia" w:ascii="宋体" w:hAnsi="宋体" w:eastAsia="宋体"/>
                <w:sz w:val="24"/>
              </w:rPr>
              <w:t>符合比选文件技术参数和商务要求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sz w:val="24"/>
              </w:rPr>
            </w:pPr>
          </w:p>
        </w:tc>
        <w:tc>
          <w:tcPr>
            <w:tcW w:w="7703" w:type="dxa"/>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eastAsia="宋体"/>
                <w:sz w:val="24"/>
              </w:rPr>
            </w:pPr>
            <w:r>
              <w:rPr>
                <w:rFonts w:hint="eastAsia" w:ascii="宋体" w:hAnsi="宋体" w:eastAsia="宋体"/>
                <w:sz w:val="24"/>
              </w:rPr>
              <w:t>按比选文件要求签字、盖章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27" w:type="dxa"/>
            <w:vMerge w:val="continue"/>
            <w:tcBorders>
              <w:top w:val="single" w:color="auto" w:sz="6" w:space="0"/>
              <w:left w:val="single" w:color="auto" w:sz="8" w:space="0"/>
              <w:bottom w:val="single" w:color="auto" w:sz="6" w:space="0"/>
              <w:right w:val="single" w:color="auto" w:sz="6" w:space="0"/>
            </w:tcBorders>
            <w:vAlign w:val="center"/>
          </w:tcPr>
          <w:p>
            <w:pPr>
              <w:widowControl/>
              <w:jc w:val="left"/>
              <w:rPr>
                <w:rFonts w:ascii="宋体" w:hAnsi="宋体" w:eastAsia="宋体"/>
                <w:sz w:val="24"/>
              </w:rPr>
            </w:pPr>
          </w:p>
        </w:tc>
        <w:tc>
          <w:tcPr>
            <w:tcW w:w="7703" w:type="dxa"/>
            <w:tcBorders>
              <w:top w:val="single" w:color="auto" w:sz="6" w:space="0"/>
              <w:left w:val="single" w:color="auto" w:sz="6" w:space="0"/>
              <w:bottom w:val="single" w:color="auto" w:sz="6" w:space="0"/>
              <w:right w:val="single" w:color="auto" w:sz="8" w:space="0"/>
            </w:tcBorders>
            <w:vAlign w:val="center"/>
          </w:tcPr>
          <w:p>
            <w:pPr>
              <w:spacing w:line="360" w:lineRule="auto"/>
              <w:rPr>
                <w:rFonts w:ascii="宋体" w:hAnsi="宋体" w:eastAsia="宋体"/>
                <w:sz w:val="24"/>
                <w:highlight w:val="yellow"/>
              </w:rPr>
            </w:pPr>
            <w:r>
              <w:rPr>
                <w:rFonts w:hint="eastAsia" w:ascii="宋体" w:hAnsi="宋体" w:eastAsia="宋体"/>
                <w:sz w:val="24"/>
                <w:highlight w:val="none"/>
              </w:rPr>
              <w:t>报价未超过项目限价</w:t>
            </w:r>
          </w:p>
        </w:tc>
      </w:tr>
    </w:tbl>
    <w:p>
      <w:pPr>
        <w:pStyle w:val="6"/>
        <w:rPr>
          <w:rFonts w:ascii="宋体" w:hAnsi="宋体" w:eastAsia="宋体"/>
        </w:rPr>
      </w:pPr>
    </w:p>
    <w:p>
      <w:pPr>
        <w:pStyle w:val="2"/>
        <w:rPr>
          <w:rFonts w:ascii="宋体" w:hAnsi="宋体" w:eastAsia="宋体"/>
          <w:color w:val="000000"/>
        </w:rPr>
      </w:pPr>
      <w:bookmarkStart w:id="15" w:name="_Toc6571_WPSOffice_Level1"/>
      <w:r>
        <w:rPr>
          <w:rFonts w:hint="eastAsia" w:ascii="宋体" w:hAnsi="宋体" w:eastAsia="宋体"/>
          <w:color w:val="000000"/>
        </w:rPr>
        <w:t>3.定标及定标程序</w:t>
      </w:r>
      <w:bookmarkEnd w:id="14"/>
      <w:bookmarkEnd w:id="15"/>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3.1评选委员会将根据评选结果，按照综合得分高低标明排列顺序，并推荐中选候选人。综合得分相同的，按比选报价由低到高顺序排列。得分且比选报价相同的，按技术指标优劣顺序排列。</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3.</w:t>
      </w:r>
      <w:r>
        <w:rPr>
          <w:rFonts w:ascii="宋体" w:hAnsi="宋体" w:eastAsia="宋体"/>
          <w:color w:val="000000"/>
          <w:sz w:val="24"/>
        </w:rPr>
        <w:t>2</w:t>
      </w:r>
      <w:r>
        <w:rPr>
          <w:rFonts w:hint="eastAsia" w:ascii="宋体" w:hAnsi="宋体" w:eastAsia="宋体"/>
          <w:color w:val="000000"/>
          <w:sz w:val="24"/>
        </w:rPr>
        <w:t>比选人按照评选结果，确定中选人。</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3.4比选人按照推荐的中选候选人顺序确定中选人，不能认为比选人只能确定第一中选候选人为中选人，比选人有正当理由的，可以确定后一顺序中选候选人为中选人，依次类推。</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3.5比选人在线公示确定的中选人，并向中选人发出中选通知。</w:t>
      </w:r>
      <w:bookmarkStart w:id="16" w:name="_Toc217446101"/>
    </w:p>
    <w:p>
      <w:pPr>
        <w:spacing w:line="360" w:lineRule="auto"/>
        <w:ind w:firstLine="480" w:firstLineChars="200"/>
        <w:rPr>
          <w:rFonts w:ascii="宋体" w:hAnsi="宋体" w:eastAsia="宋体"/>
          <w:color w:val="000000"/>
          <w:sz w:val="24"/>
        </w:rPr>
      </w:pPr>
    </w:p>
    <w:p>
      <w:pPr>
        <w:spacing w:line="360" w:lineRule="auto"/>
        <w:ind w:firstLine="480" w:firstLineChars="200"/>
        <w:rPr>
          <w:rFonts w:ascii="宋体" w:hAnsi="宋体" w:eastAsia="宋体"/>
          <w:color w:val="000000"/>
          <w:sz w:val="24"/>
        </w:rPr>
      </w:pPr>
    </w:p>
    <w:p>
      <w:pPr>
        <w:pStyle w:val="2"/>
        <w:adjustRightInd w:val="0"/>
        <w:snapToGrid w:val="0"/>
        <w:spacing w:before="0" w:after="0" w:line="360" w:lineRule="auto"/>
        <w:rPr>
          <w:rFonts w:ascii="宋体" w:hAnsi="宋体" w:eastAsia="宋体"/>
          <w:color w:val="000000"/>
        </w:rPr>
      </w:pPr>
      <w:bookmarkStart w:id="17" w:name="_Toc3536_WPSOffice_Level1"/>
      <w:r>
        <w:rPr>
          <w:rFonts w:hint="eastAsia" w:ascii="宋体" w:hAnsi="宋体" w:eastAsia="宋体"/>
          <w:color w:val="000000"/>
        </w:rPr>
        <w:t>4.评选方法</w:t>
      </w:r>
      <w:bookmarkEnd w:id="16"/>
      <w:bookmarkEnd w:id="17"/>
      <w:r>
        <w:rPr>
          <w:rFonts w:hint="eastAsia" w:ascii="宋体" w:hAnsi="宋体" w:eastAsia="宋体"/>
          <w:color w:val="000000"/>
        </w:rPr>
        <w:t>：综合评分法</w:t>
      </w:r>
    </w:p>
    <w:p>
      <w:pPr>
        <w:pStyle w:val="2"/>
        <w:adjustRightInd w:val="0"/>
        <w:snapToGrid w:val="0"/>
        <w:spacing w:before="0" w:after="0" w:line="360" w:lineRule="auto"/>
        <w:rPr>
          <w:rFonts w:ascii="宋体" w:hAnsi="宋体" w:eastAsia="宋体"/>
          <w:color w:val="000000"/>
        </w:rPr>
      </w:pPr>
      <w:bookmarkStart w:id="18" w:name="_Toc217446103"/>
      <w:bookmarkStart w:id="19" w:name="_Toc12787_WPSOffice_Level1"/>
      <w:r>
        <w:rPr>
          <w:rFonts w:hint="eastAsia" w:ascii="宋体" w:hAnsi="宋体" w:eastAsia="宋体"/>
          <w:color w:val="000000"/>
        </w:rPr>
        <w:t>5.评选细则及标准（综合评分法）</w:t>
      </w:r>
      <w:bookmarkEnd w:id="18"/>
      <w:bookmarkEnd w:id="19"/>
    </w:p>
    <w:p>
      <w:pPr>
        <w:adjustRightInd w:val="0"/>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5.1本次综合评分的主要因素是：详见综合评分明细表。</w:t>
      </w:r>
    </w:p>
    <w:p>
      <w:pPr>
        <w:adjustRightInd w:val="0"/>
        <w:snapToGrid w:val="0"/>
        <w:spacing w:line="360" w:lineRule="auto"/>
        <w:ind w:firstLine="480" w:firstLineChars="200"/>
        <w:rPr>
          <w:rFonts w:ascii="宋体" w:hAnsi="宋体" w:eastAsia="宋体"/>
          <w:i/>
          <w:iCs/>
          <w:color w:val="000000"/>
          <w:sz w:val="24"/>
        </w:rPr>
      </w:pPr>
      <w:r>
        <w:rPr>
          <w:rFonts w:hint="eastAsia" w:ascii="宋体" w:hAnsi="宋体" w:eastAsia="宋体"/>
          <w:color w:val="000000"/>
          <w:sz w:val="24"/>
        </w:rPr>
        <w:t>5.2除价格因素外，评委会成员应依据比选文件规定的评分标准和方法独立对其他因素进行比较打分。</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5.3在评选过程中，比选申请文件响应比选文件出现的偏离，分为实质性偏离和非实质性偏离。</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5.3.1实质性偏离是指比选申请文件未能实质响应比选文件的要求。以下情况属于重大偏离：</w:t>
      </w:r>
    </w:p>
    <w:p>
      <w:pPr>
        <w:adjustRightInd w:val="0"/>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（1）比选报价函、法定代表人授权委托书没有按比选文件的规定和要求签字或盖章；</w:t>
      </w:r>
    </w:p>
    <w:p>
      <w:pPr>
        <w:adjustRightInd w:val="0"/>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（2）比选申请文件中附有比选人不能接受的条件；</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（3）比选申请文件服务内容明显不符合比选项目的要求；</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rPr>
        <w:t>不符合比选文件规定的其他实质性要求。</w:t>
      </w:r>
    </w:p>
    <w:p>
      <w:pPr>
        <w:pStyle w:val="7"/>
        <w:tabs>
          <w:tab w:val="left" w:pos="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比选申请文件有上述情形之一的，作无效比选处理。</w:t>
      </w:r>
    </w:p>
    <w:p>
      <w:pPr>
        <w:pStyle w:val="7"/>
        <w:tabs>
          <w:tab w:val="left" w:pos="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rPr>
        <w:t>5.3.2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pPr>
        <w:adjustRightInd w:val="0"/>
        <w:snapToGrid w:val="0"/>
        <w:spacing w:line="360" w:lineRule="auto"/>
        <w:ind w:firstLine="480" w:firstLineChars="200"/>
        <w:rPr>
          <w:rFonts w:ascii="宋体" w:hAnsi="宋体" w:eastAsia="宋体"/>
          <w:color w:val="000000"/>
          <w:sz w:val="24"/>
        </w:rPr>
      </w:pPr>
      <w:bookmarkStart w:id="20" w:name="_Toc28095_WPSOffice_Level2"/>
      <w:r>
        <w:rPr>
          <w:rFonts w:hint="eastAsia" w:ascii="宋体" w:hAnsi="宋体" w:eastAsia="宋体"/>
          <w:color w:val="000000"/>
          <w:sz w:val="24"/>
        </w:rPr>
        <w:t>（1）文字表述的内容含义不明确；</w:t>
      </w:r>
      <w:bookmarkEnd w:id="20"/>
    </w:p>
    <w:p>
      <w:pPr>
        <w:adjustRightInd w:val="0"/>
        <w:snapToGrid w:val="0"/>
        <w:spacing w:line="360" w:lineRule="auto"/>
        <w:ind w:firstLine="480" w:firstLineChars="200"/>
        <w:rPr>
          <w:rFonts w:ascii="宋体" w:hAnsi="宋体" w:eastAsia="宋体"/>
          <w:color w:val="000000"/>
          <w:sz w:val="24"/>
        </w:rPr>
      </w:pPr>
      <w:bookmarkStart w:id="21" w:name="_Toc5355_WPSOffice_Level2"/>
      <w:r>
        <w:rPr>
          <w:rFonts w:hint="eastAsia" w:ascii="宋体" w:hAnsi="宋体" w:eastAsia="宋体"/>
          <w:color w:val="000000"/>
          <w:sz w:val="24"/>
        </w:rPr>
        <w:t>（2）同类问题表述不一致；</w:t>
      </w:r>
      <w:bookmarkEnd w:id="21"/>
    </w:p>
    <w:p>
      <w:pPr>
        <w:adjustRightInd w:val="0"/>
        <w:snapToGrid w:val="0"/>
        <w:spacing w:line="360" w:lineRule="auto"/>
        <w:ind w:firstLine="480" w:firstLineChars="200"/>
        <w:rPr>
          <w:rFonts w:ascii="宋体" w:hAnsi="宋体" w:eastAsia="宋体"/>
          <w:color w:val="000000"/>
          <w:sz w:val="24"/>
        </w:rPr>
      </w:pPr>
      <w:bookmarkStart w:id="22" w:name="_Toc3916_WPSOffice_Level2"/>
      <w:r>
        <w:rPr>
          <w:rFonts w:hint="eastAsia" w:ascii="宋体" w:hAnsi="宋体" w:eastAsia="宋体"/>
          <w:color w:val="000000"/>
          <w:sz w:val="24"/>
        </w:rPr>
        <w:t>（3）有明显文字和计算错误；</w:t>
      </w:r>
      <w:bookmarkEnd w:id="22"/>
    </w:p>
    <w:p>
      <w:pPr>
        <w:adjustRightInd w:val="0"/>
        <w:snapToGrid w:val="0"/>
        <w:spacing w:line="360" w:lineRule="auto"/>
        <w:ind w:firstLine="480" w:firstLineChars="200"/>
        <w:rPr>
          <w:rFonts w:ascii="宋体" w:hAnsi="宋体" w:eastAsia="宋体"/>
          <w:color w:val="000000"/>
          <w:sz w:val="24"/>
        </w:rPr>
      </w:pPr>
      <w:bookmarkStart w:id="23" w:name="_Toc5293_WPSOffice_Level2"/>
      <w:r>
        <w:rPr>
          <w:rFonts w:hint="eastAsia" w:ascii="宋体" w:hAnsi="宋体" w:eastAsia="宋体"/>
          <w:color w:val="000000"/>
          <w:sz w:val="24"/>
        </w:rPr>
        <w:t>（4）提供的技术信息和数据资料不完整；</w:t>
      </w:r>
      <w:bookmarkEnd w:id="23"/>
    </w:p>
    <w:p>
      <w:pPr>
        <w:adjustRightInd w:val="0"/>
        <w:snapToGrid w:val="0"/>
        <w:spacing w:line="360" w:lineRule="auto"/>
        <w:ind w:firstLine="480" w:firstLineChars="200"/>
        <w:rPr>
          <w:rFonts w:ascii="宋体" w:hAnsi="宋体" w:eastAsia="宋体"/>
          <w:color w:val="000000"/>
          <w:sz w:val="24"/>
        </w:rPr>
      </w:pPr>
      <w:bookmarkStart w:id="24" w:name="_Toc6761_WPSOffice_Level2"/>
      <w:r>
        <w:rPr>
          <w:rFonts w:hint="eastAsia" w:ascii="宋体" w:hAnsi="宋体" w:eastAsia="宋体"/>
          <w:color w:val="000000"/>
          <w:sz w:val="24"/>
        </w:rPr>
        <w:t>（5）评选委员会认定的其他非实质性偏离。</w:t>
      </w:r>
      <w:bookmarkEnd w:id="24"/>
    </w:p>
    <w:p>
      <w:pPr>
        <w:tabs>
          <w:tab w:val="left" w:pos="7665"/>
        </w:tabs>
        <w:adjustRightInd w:val="0"/>
        <w:snapToGrid w:val="0"/>
        <w:spacing w:line="360" w:lineRule="auto"/>
        <w:ind w:firstLine="480" w:firstLineChars="200"/>
        <w:rPr>
          <w:rFonts w:ascii="宋体" w:hAnsi="宋体" w:eastAsia="宋体"/>
          <w:color w:val="000000"/>
          <w:sz w:val="24"/>
        </w:rPr>
      </w:pPr>
      <w:r>
        <w:rPr>
          <w:rFonts w:hint="eastAsia" w:ascii="宋体" w:hAnsi="宋体" w:eastAsia="宋体"/>
          <w:color w:val="000000"/>
          <w:sz w:val="24"/>
        </w:rPr>
        <w:t>比选申请文件有上述（1）--（5）情形之一的，评选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评选委员会不接受比选申请人主动提出的澄清、说明或补正。</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5.4 在比选申请文件初审过程中，如果出现评选委员会成员意见不一致的情况，按照少数服从多数的原则确定。</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5.5综合评分明细表</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5.5.1综合评分明细表的制定以科学合理、降低评选委员会自由裁量权为原则。</w:t>
      </w:r>
    </w:p>
    <w:p>
      <w:pPr>
        <w:pStyle w:val="7"/>
        <w:tabs>
          <w:tab w:val="left" w:pos="600"/>
        </w:tabs>
        <w:adjustRightInd w:val="0"/>
        <w:snapToGrid w:val="0"/>
        <w:spacing w:after="0" w:line="360" w:lineRule="auto"/>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5.5.2综合评分明细表</w:t>
      </w:r>
    </w:p>
    <w:tbl>
      <w:tblPr>
        <w:tblStyle w:val="10"/>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5"/>
        <w:gridCol w:w="964"/>
        <w:gridCol w:w="45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bookmarkStart w:id="25" w:name="_Toc217446104"/>
            <w:bookmarkStart w:id="26" w:name="_Toc183682422"/>
            <w:bookmarkStart w:id="27" w:name="_Toc183582287"/>
            <w:r>
              <w:rPr>
                <w:rFonts w:hint="eastAsia" w:ascii="宋体" w:hAnsi="宋体" w:eastAsia="宋体" w:cs="宋体"/>
                <w:bCs/>
                <w:sz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评分因素</w:t>
            </w:r>
          </w:p>
          <w:p>
            <w:pPr>
              <w:ind w:firstLine="28"/>
              <w:jc w:val="center"/>
              <w:rPr>
                <w:rFonts w:ascii="宋体" w:hAnsi="宋体" w:eastAsia="宋体" w:cs="宋体"/>
                <w:bCs/>
                <w:sz w:val="24"/>
              </w:rPr>
            </w:pPr>
            <w:r>
              <w:rPr>
                <w:rFonts w:hint="eastAsia" w:ascii="宋体" w:hAnsi="宋体" w:eastAsia="宋体" w:cs="宋体"/>
                <w:bCs/>
                <w:sz w:val="24"/>
              </w:rPr>
              <w:t>及权重</w:t>
            </w:r>
          </w:p>
        </w:tc>
        <w:tc>
          <w:tcPr>
            <w:tcW w:w="96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分值</w:t>
            </w:r>
          </w:p>
        </w:tc>
        <w:tc>
          <w:tcPr>
            <w:tcW w:w="454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评分标准</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4"/>
              </w:rPr>
            </w:pPr>
            <w:r>
              <w:rPr>
                <w:rFonts w:hint="eastAsia" w:ascii="宋体" w:hAnsi="宋体" w:eastAsia="宋体" w:cs="宋体"/>
                <w:bCs/>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4"/>
              </w:rPr>
            </w:pPr>
            <w:r>
              <w:rPr>
                <w:rFonts w:hint="eastAsia" w:ascii="宋体" w:hAnsi="宋体" w:eastAsia="宋体" w:cs="宋体"/>
                <w:bCs/>
                <w:sz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报价</w:t>
            </w:r>
            <w:r>
              <w:rPr>
                <w:rFonts w:ascii="宋体" w:hAnsi="宋体" w:eastAsia="宋体" w:cs="宋体"/>
                <w:bCs/>
                <w:sz w:val="24"/>
              </w:rPr>
              <w:t>1</w:t>
            </w:r>
            <w:r>
              <w:rPr>
                <w:rFonts w:hint="eastAsia" w:ascii="宋体" w:hAnsi="宋体" w:eastAsia="宋体" w:cs="宋体"/>
                <w:bCs/>
                <w:sz w:val="24"/>
              </w:rPr>
              <w:t>0%</w:t>
            </w:r>
          </w:p>
        </w:tc>
        <w:tc>
          <w:tcPr>
            <w:tcW w:w="96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0分</w:t>
            </w:r>
          </w:p>
        </w:tc>
        <w:tc>
          <w:tcPr>
            <w:tcW w:w="45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宋体"/>
                <w:bCs/>
                <w:sz w:val="24"/>
              </w:rPr>
            </w:pPr>
            <w:r>
              <w:rPr>
                <w:rFonts w:hint="eastAsia" w:ascii="宋体" w:hAnsi="宋体" w:eastAsia="宋体"/>
                <w:bCs/>
                <w:sz w:val="24"/>
              </w:rPr>
              <w:t>满足文件要求且报价最低的比选申请人的价格为评标基准价，其价格分为满分。其他供应商的价格分统一按照下列公式计算：投标报价得</w:t>
            </w:r>
            <w:bookmarkStart w:id="28" w:name="_GoBack"/>
            <w:bookmarkEnd w:id="28"/>
            <w:r>
              <w:rPr>
                <w:rFonts w:hint="eastAsia" w:ascii="宋体" w:hAnsi="宋体" w:eastAsia="宋体"/>
                <w:bCs/>
                <w:sz w:val="24"/>
              </w:rPr>
              <w:t>分=（评标基准价/投标报价）×10%×100；</w:t>
            </w:r>
          </w:p>
        </w:tc>
        <w:tc>
          <w:tcPr>
            <w:tcW w:w="1050"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eastAsia="宋体" w:cs="宋体"/>
                <w:bCs/>
                <w:sz w:val="24"/>
              </w:rPr>
            </w:pPr>
            <w:r>
              <w:rPr>
                <w:rFonts w:hint="eastAsia" w:ascii="宋体" w:hAnsi="宋体" w:eastAsia="宋体" w:cs="宋体"/>
                <w:bCs/>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4"/>
              </w:rPr>
            </w:pPr>
            <w:r>
              <w:rPr>
                <w:rFonts w:hint="eastAsia" w:ascii="宋体" w:hAnsi="宋体" w:eastAsia="宋体" w:cs="宋体"/>
                <w:bCs/>
                <w:sz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服务方案</w:t>
            </w:r>
            <w:r>
              <w:rPr>
                <w:rFonts w:ascii="宋体" w:hAnsi="宋体" w:eastAsia="宋体" w:cs="宋体"/>
                <w:bCs/>
                <w:sz w:val="24"/>
              </w:rPr>
              <w:t>6</w:t>
            </w:r>
            <w:r>
              <w:rPr>
                <w:rFonts w:hint="eastAsia" w:ascii="宋体" w:hAnsi="宋体" w:eastAsia="宋体" w:cs="宋体"/>
                <w:bCs/>
                <w:sz w:val="24"/>
              </w:rPr>
              <w:t>0%</w:t>
            </w:r>
          </w:p>
        </w:tc>
        <w:tc>
          <w:tcPr>
            <w:tcW w:w="96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ascii="宋体" w:hAnsi="宋体" w:eastAsia="宋体" w:cs="宋体"/>
                <w:bCs/>
                <w:sz w:val="24"/>
              </w:rPr>
              <w:t>6</w:t>
            </w:r>
            <w:r>
              <w:rPr>
                <w:rFonts w:hint="eastAsia" w:ascii="宋体" w:hAnsi="宋体" w:eastAsia="宋体" w:cs="宋体"/>
                <w:bCs/>
                <w:sz w:val="24"/>
              </w:rPr>
              <w:t>0分</w:t>
            </w:r>
          </w:p>
        </w:tc>
        <w:tc>
          <w:tcPr>
            <w:tcW w:w="45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rPr>
            </w:pPr>
            <w:r>
              <w:rPr>
                <w:rFonts w:hint="eastAsia" w:ascii="宋体" w:hAnsi="宋体" w:eastAsia="宋体"/>
                <w:bCs/>
                <w:sz w:val="24"/>
              </w:rPr>
              <w:t>根据服务要求和内容制定服务方案，比选申请人提供的方案包括：</w:t>
            </w:r>
            <w:r>
              <w:rPr>
                <w:rFonts w:hint="eastAsia" w:ascii="宋体" w:hAnsi="宋体" w:eastAsia="宋体"/>
                <w:bCs/>
                <w:color w:val="FF0000"/>
                <w:sz w:val="24"/>
              </w:rPr>
              <w:t>①</w:t>
            </w:r>
            <w:r>
              <w:rPr>
                <w:rFonts w:hint="eastAsia" w:ascii="宋体" w:hAnsi="宋体" w:eastAsia="宋体"/>
                <w:bCs/>
                <w:color w:val="FF0000"/>
                <w:sz w:val="24"/>
                <w:lang w:val="en-US" w:eastAsia="zh-CN"/>
              </w:rPr>
              <w:t>项目施工</w:t>
            </w:r>
            <w:r>
              <w:rPr>
                <w:rFonts w:hint="eastAsia" w:ascii="宋体" w:hAnsi="宋体" w:eastAsia="宋体"/>
                <w:bCs/>
                <w:color w:val="FF0000"/>
                <w:sz w:val="24"/>
              </w:rPr>
              <w:t>技术方案；②后续服务保障方案；③后续</w:t>
            </w:r>
            <w:r>
              <w:rPr>
                <w:rFonts w:hint="eastAsia" w:ascii="宋体" w:hAnsi="宋体" w:eastAsia="宋体" w:cs="宋体"/>
                <w:color w:val="FF0000"/>
                <w:sz w:val="24"/>
                <w:szCs w:val="24"/>
              </w:rPr>
              <w:t>服务电话和服务人员名单</w:t>
            </w:r>
            <w:r>
              <w:rPr>
                <w:rFonts w:hint="eastAsia" w:ascii="宋体" w:hAnsi="宋体" w:eastAsia="宋体"/>
                <w:bCs/>
                <w:color w:val="FF0000"/>
                <w:sz w:val="24"/>
              </w:rPr>
              <w:t>等内容。</w:t>
            </w:r>
          </w:p>
        </w:tc>
        <w:tc>
          <w:tcPr>
            <w:tcW w:w="1050"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eastAsia="宋体" w:cs="宋体"/>
                <w:bCs/>
                <w:sz w:val="24"/>
              </w:rPr>
            </w:pPr>
            <w:r>
              <w:rPr>
                <w:rFonts w:hint="eastAsia" w:ascii="宋体" w:hAnsi="宋体" w:eastAsia="宋体" w:cs="宋体"/>
                <w:bCs/>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履约能力30%</w:t>
            </w:r>
          </w:p>
        </w:tc>
        <w:tc>
          <w:tcPr>
            <w:tcW w:w="96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Cs/>
                <w:sz w:val="24"/>
              </w:rPr>
            </w:pPr>
            <w:r>
              <w:rPr>
                <w:rFonts w:hint="eastAsia" w:ascii="宋体" w:hAnsi="宋体" w:eastAsia="宋体" w:cs="宋体"/>
                <w:bCs/>
                <w:sz w:val="24"/>
              </w:rPr>
              <w:t>30分</w:t>
            </w:r>
          </w:p>
        </w:tc>
        <w:tc>
          <w:tcPr>
            <w:tcW w:w="45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宋体"/>
                <w:bCs/>
                <w:sz w:val="24"/>
              </w:rPr>
            </w:pPr>
            <w:r>
              <w:rPr>
                <w:rFonts w:hint="eastAsia" w:ascii="宋体" w:hAnsi="宋体" w:eastAsia="宋体" w:cs="宋体"/>
                <w:bCs/>
                <w:sz w:val="24"/>
              </w:rPr>
              <w:t>1.具有</w:t>
            </w:r>
            <w:r>
              <w:rPr>
                <w:rFonts w:hint="eastAsia" w:ascii="宋体" w:hAnsi="宋体" w:eastAsia="宋体" w:cs="宋体"/>
                <w:bCs/>
                <w:color w:val="FF0000"/>
                <w:sz w:val="24"/>
                <w:lang w:val="en-US" w:eastAsia="zh-CN"/>
              </w:rPr>
              <w:t>项目工程建设的</w:t>
            </w:r>
            <w:r>
              <w:rPr>
                <w:rFonts w:hint="eastAsia" w:ascii="宋体" w:hAnsi="宋体" w:eastAsia="宋体" w:cs="宋体"/>
                <w:bCs/>
                <w:sz w:val="24"/>
              </w:rPr>
              <w:t>相关的</w:t>
            </w:r>
            <w:r>
              <w:rPr>
                <w:rFonts w:hint="eastAsia" w:ascii="宋体" w:hAnsi="宋体" w:eastAsia="宋体" w:cs="宋体"/>
                <w:bCs/>
                <w:sz w:val="24"/>
                <w:lang w:val="en-US" w:eastAsia="zh-CN"/>
              </w:rPr>
              <w:t>资质</w:t>
            </w:r>
            <w:r>
              <w:rPr>
                <w:rFonts w:hint="eastAsia" w:ascii="宋体" w:hAnsi="宋体" w:eastAsia="宋体" w:cs="宋体"/>
                <w:bCs/>
                <w:sz w:val="24"/>
              </w:rPr>
              <w:t>证书。注：提供证书复印件。</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2.至递交响应文件截止时间前，比选申请人</w:t>
            </w:r>
            <w:r>
              <w:rPr>
                <w:rFonts w:hint="eastAsia" w:ascii="宋体" w:hAnsi="宋体" w:eastAsia="宋体" w:cs="宋体"/>
                <w:bCs/>
                <w:sz w:val="24"/>
                <w:lang w:val="en-US" w:eastAsia="zh-CN"/>
              </w:rPr>
              <w:t>应具有完成的类似工程建设项目</w:t>
            </w:r>
            <w:r>
              <w:rPr>
                <w:rFonts w:hint="eastAsia" w:ascii="宋体" w:hAnsi="宋体" w:eastAsia="宋体" w:cs="宋体"/>
                <w:bCs/>
                <w:sz w:val="24"/>
              </w:rPr>
              <w:t>。注：</w:t>
            </w:r>
            <w:r>
              <w:rPr>
                <w:rFonts w:hint="eastAsia" w:ascii="宋体" w:hAnsi="宋体" w:eastAsia="宋体" w:cs="宋体"/>
                <w:bCs/>
                <w:color w:val="FF0000"/>
                <w:sz w:val="24"/>
              </w:rPr>
              <w:t>提供</w:t>
            </w:r>
            <w:r>
              <w:rPr>
                <w:rFonts w:hint="eastAsia" w:ascii="宋体" w:hAnsi="宋体" w:eastAsia="宋体" w:cs="宋体"/>
                <w:bCs/>
                <w:color w:val="FF0000"/>
                <w:sz w:val="24"/>
                <w:lang w:val="en-US" w:eastAsia="zh-CN"/>
              </w:rPr>
              <w:t>项目合同书首页</w:t>
            </w:r>
            <w:r>
              <w:rPr>
                <w:rFonts w:hint="eastAsia" w:ascii="宋体" w:hAnsi="宋体" w:eastAsia="宋体" w:cs="宋体"/>
                <w:bCs/>
                <w:sz w:val="24"/>
              </w:rPr>
              <w:t>。</w:t>
            </w:r>
          </w:p>
        </w:tc>
        <w:tc>
          <w:tcPr>
            <w:tcW w:w="1050" w:type="dxa"/>
            <w:tcBorders>
              <w:top w:val="single" w:color="auto" w:sz="4" w:space="0"/>
              <w:left w:val="single" w:color="auto" w:sz="4" w:space="0"/>
              <w:bottom w:val="single" w:color="auto" w:sz="4" w:space="0"/>
              <w:right w:val="single" w:color="auto" w:sz="4" w:space="0"/>
            </w:tcBorders>
            <w:vAlign w:val="center"/>
          </w:tcPr>
          <w:p>
            <w:pPr>
              <w:ind w:left="-38"/>
              <w:jc w:val="center"/>
              <w:rPr>
                <w:rFonts w:ascii="宋体" w:hAnsi="宋体" w:eastAsia="宋体" w:cs="宋体"/>
                <w:bCs/>
                <w:sz w:val="24"/>
              </w:rPr>
            </w:pPr>
            <w:r>
              <w:rPr>
                <w:rFonts w:hint="eastAsia" w:ascii="宋体" w:hAnsi="宋体" w:eastAsia="宋体" w:cs="宋体"/>
                <w:bCs/>
                <w:sz w:val="24"/>
              </w:rPr>
              <w:t>共同评分因素</w:t>
            </w:r>
          </w:p>
        </w:tc>
      </w:tr>
    </w:tbl>
    <w:p>
      <w:pPr>
        <w:pStyle w:val="5"/>
        <w:ind w:firstLine="0" w:firstLineChars="0"/>
        <w:rPr>
          <w:rFonts w:ascii="宋体" w:hAnsi="宋体" w:eastAsia="宋体"/>
          <w:bCs/>
          <w:color w:val="000000"/>
        </w:rPr>
      </w:pPr>
    </w:p>
    <w:bookmarkEnd w:id="25"/>
    <w:bookmarkEnd w:id="26"/>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ZjgzMTBjZGUwMzI4YTVjZWRmMjg0MzA5MzkxNDkifQ=="/>
  </w:docVars>
  <w:rsids>
    <w:rsidRoot w:val="00B2768C"/>
    <w:rsid w:val="000000B1"/>
    <w:rsid w:val="00001E68"/>
    <w:rsid w:val="000058C8"/>
    <w:rsid w:val="00037AFB"/>
    <w:rsid w:val="000428E4"/>
    <w:rsid w:val="000E06E3"/>
    <w:rsid w:val="00154E15"/>
    <w:rsid w:val="00175569"/>
    <w:rsid w:val="001D233F"/>
    <w:rsid w:val="0023497C"/>
    <w:rsid w:val="00273FAF"/>
    <w:rsid w:val="00274908"/>
    <w:rsid w:val="0031283C"/>
    <w:rsid w:val="00342908"/>
    <w:rsid w:val="003640A0"/>
    <w:rsid w:val="003738F1"/>
    <w:rsid w:val="003E574C"/>
    <w:rsid w:val="00437838"/>
    <w:rsid w:val="00476A4D"/>
    <w:rsid w:val="004A489B"/>
    <w:rsid w:val="004A5BA4"/>
    <w:rsid w:val="004E3323"/>
    <w:rsid w:val="004E6BC2"/>
    <w:rsid w:val="004F7914"/>
    <w:rsid w:val="005100B0"/>
    <w:rsid w:val="005D10F1"/>
    <w:rsid w:val="006607CF"/>
    <w:rsid w:val="00685EFD"/>
    <w:rsid w:val="006A7404"/>
    <w:rsid w:val="006F75ED"/>
    <w:rsid w:val="0073469F"/>
    <w:rsid w:val="0075011F"/>
    <w:rsid w:val="00795486"/>
    <w:rsid w:val="00795999"/>
    <w:rsid w:val="007D705D"/>
    <w:rsid w:val="007F361C"/>
    <w:rsid w:val="008546EB"/>
    <w:rsid w:val="00867127"/>
    <w:rsid w:val="00873732"/>
    <w:rsid w:val="00880A19"/>
    <w:rsid w:val="008E5827"/>
    <w:rsid w:val="00960F1D"/>
    <w:rsid w:val="0098040D"/>
    <w:rsid w:val="009B1B69"/>
    <w:rsid w:val="00A6462C"/>
    <w:rsid w:val="00A91CD9"/>
    <w:rsid w:val="00AE285F"/>
    <w:rsid w:val="00B2768C"/>
    <w:rsid w:val="00B5198C"/>
    <w:rsid w:val="00B941C0"/>
    <w:rsid w:val="00C412DF"/>
    <w:rsid w:val="00D07FC4"/>
    <w:rsid w:val="00D65875"/>
    <w:rsid w:val="00D961EE"/>
    <w:rsid w:val="00DD67E5"/>
    <w:rsid w:val="00E1614B"/>
    <w:rsid w:val="00F45271"/>
    <w:rsid w:val="00F51226"/>
    <w:rsid w:val="00F9234C"/>
    <w:rsid w:val="00FB126B"/>
    <w:rsid w:val="00FC0E2A"/>
    <w:rsid w:val="00FD5EEF"/>
    <w:rsid w:val="07B02821"/>
    <w:rsid w:val="0A095564"/>
    <w:rsid w:val="21F15067"/>
    <w:rsid w:val="35984940"/>
    <w:rsid w:val="554D0F54"/>
    <w:rsid w:val="64F31474"/>
    <w:rsid w:val="79B3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 w:val="24"/>
      <w:szCs w:val="20"/>
    </w:rPr>
  </w:style>
  <w:style w:type="paragraph" w:styleId="6">
    <w:name w:val="Body Text"/>
    <w:basedOn w:val="1"/>
    <w:next w:val="1"/>
    <w:link w:val="15"/>
    <w:qFormat/>
    <w:uiPriority w:val="0"/>
    <w:pPr>
      <w:spacing w:after="120"/>
    </w:pPr>
  </w:style>
  <w:style w:type="paragraph" w:styleId="7">
    <w:name w:val="Body Text Indent"/>
    <w:basedOn w:val="1"/>
    <w:link w:val="19"/>
    <w:unhideWhenUsed/>
    <w:qFormat/>
    <w:uiPriority w:val="99"/>
    <w:pPr>
      <w:spacing w:after="120"/>
      <w:ind w:left="420" w:leftChars="200"/>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正文文本 字符"/>
    <w:basedOn w:val="12"/>
    <w:link w:val="6"/>
    <w:qFormat/>
    <w:uiPriority w:val="0"/>
  </w:style>
  <w:style w:type="character" w:customStyle="1" w:styleId="16">
    <w:name w:val="标题 4 字符"/>
    <w:basedOn w:val="12"/>
    <w:link w:val="4"/>
    <w:qFormat/>
    <w:uiPriority w:val="0"/>
    <w:rPr>
      <w:rFonts w:asciiTheme="majorHAnsi" w:hAnsiTheme="majorHAnsi" w:eastAsiaTheme="majorEastAsia" w:cstheme="majorBidi"/>
      <w:b/>
      <w:bCs/>
      <w:sz w:val="28"/>
      <w:szCs w:val="28"/>
    </w:rPr>
  </w:style>
  <w:style w:type="character" w:customStyle="1" w:styleId="17">
    <w:name w:val="标题 3 字符"/>
    <w:basedOn w:val="12"/>
    <w:link w:val="3"/>
    <w:semiHidden/>
    <w:qFormat/>
    <w:uiPriority w:val="9"/>
    <w:rPr>
      <w:b/>
      <w:bCs/>
      <w:sz w:val="32"/>
      <w:szCs w:val="32"/>
    </w:rPr>
  </w:style>
  <w:style w:type="character" w:customStyle="1" w:styleId="18">
    <w:name w:val="标题 2 字符"/>
    <w:basedOn w:val="12"/>
    <w:link w:val="2"/>
    <w:semiHidden/>
    <w:qFormat/>
    <w:uiPriority w:val="9"/>
    <w:rPr>
      <w:rFonts w:asciiTheme="majorHAnsi" w:hAnsiTheme="majorHAnsi" w:eastAsiaTheme="majorEastAsia" w:cstheme="majorBidi"/>
      <w:b/>
      <w:bCs/>
      <w:sz w:val="32"/>
      <w:szCs w:val="32"/>
    </w:rPr>
  </w:style>
  <w:style w:type="character" w:customStyle="1" w:styleId="19">
    <w:name w:val="正文文本缩进 字符"/>
    <w:basedOn w:val="12"/>
    <w:link w:val="7"/>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2223</Words>
  <Characters>2296</Characters>
  <Lines>17</Lines>
  <Paragraphs>4</Paragraphs>
  <TotalTime>33</TotalTime>
  <ScaleCrop>false</ScaleCrop>
  <LinksUpToDate>false</LinksUpToDate>
  <CharactersWithSpaces>2299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2023-06-12T05:10:00Z</dcterms:created>
  <dc:creator>刘 泽厚</dc:creator>
  <cp:lastModifiedBy>行者</cp:lastModifiedBy>
  <dcterms:modified xsi:type="dcterms:W3CDTF">2024-05-30T03:35:12Z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9CAB6C4D85254EF4A872E582385A2B80_13</vt:lpwstr>
  </property>
</Properties>
</file>