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b/>
          <w:color w:val="000000"/>
          <w:sz w:val="32"/>
          <w:szCs w:val="32"/>
        </w:rPr>
      </w:pPr>
      <w:r>
        <w:rPr>
          <w:rFonts w:hint="eastAsia" w:ascii="黑体" w:eastAsia="黑体"/>
          <w:b/>
          <w:color w:val="000000"/>
          <w:sz w:val="32"/>
          <w:szCs w:val="32"/>
        </w:rPr>
        <w:t>评审办法和标准</w:t>
      </w:r>
    </w:p>
    <w:p>
      <w:pPr>
        <w:spacing w:line="400" w:lineRule="exact"/>
        <w:rPr>
          <w:rFonts w:ascii="宋体" w:hAnsi="宋体"/>
          <w:color w:val="000000"/>
          <w:sz w:val="24"/>
        </w:rPr>
      </w:pPr>
    </w:p>
    <w:p>
      <w:pPr>
        <w:rPr>
          <w:rFonts w:ascii="黑体" w:eastAsia="黑体"/>
          <w:b/>
          <w:sz w:val="28"/>
          <w:szCs w:val="28"/>
        </w:rPr>
      </w:pPr>
      <w:r>
        <w:rPr>
          <w:rFonts w:hint="eastAsia" w:ascii="黑体" w:eastAsia="黑体"/>
          <w:b/>
          <w:sz w:val="28"/>
          <w:szCs w:val="28"/>
        </w:rPr>
        <w:t>1. 总则</w:t>
      </w:r>
    </w:p>
    <w:p>
      <w:pPr>
        <w:spacing w:line="360" w:lineRule="auto"/>
        <w:rPr>
          <w:rFonts w:ascii="宋体" w:hAnsi="宋体"/>
          <w:color w:val="000000"/>
          <w:sz w:val="24"/>
        </w:rPr>
      </w:pPr>
    </w:p>
    <w:p>
      <w:pPr>
        <w:spacing w:line="360" w:lineRule="auto"/>
        <w:ind w:firstLine="480"/>
        <w:rPr>
          <w:rFonts w:ascii="宋体" w:hAnsi="宋体"/>
          <w:color w:val="000000"/>
          <w:sz w:val="24"/>
        </w:rPr>
      </w:pPr>
      <w:r>
        <w:rPr>
          <w:rFonts w:hint="eastAsia" w:ascii="宋体" w:hAnsi="宋体"/>
          <w:color w:val="000000"/>
          <w:sz w:val="24"/>
        </w:rPr>
        <w:t>1.1 本次招标代理机构比选的办法采用评分法。对在代理申请书递交截止时间前收到的代理申请书，评审委员会对代理申请书进行评审。</w:t>
      </w:r>
    </w:p>
    <w:p>
      <w:pPr>
        <w:spacing w:line="360" w:lineRule="auto"/>
        <w:ind w:firstLine="480"/>
        <w:rPr>
          <w:rFonts w:ascii="宋体" w:hAnsi="宋体"/>
          <w:color w:val="000000"/>
          <w:sz w:val="24"/>
        </w:rPr>
      </w:pPr>
      <w:r>
        <w:rPr>
          <w:rFonts w:hint="eastAsia" w:ascii="宋体" w:hAnsi="宋体"/>
          <w:color w:val="000000"/>
          <w:sz w:val="24"/>
        </w:rPr>
        <w:t>1.2 评审的地点由比选人决定。</w:t>
      </w:r>
    </w:p>
    <w:p>
      <w:pPr>
        <w:spacing w:line="360" w:lineRule="auto"/>
        <w:rPr>
          <w:rFonts w:ascii="宋体" w:hAnsi="宋体"/>
          <w:color w:val="000000"/>
          <w:sz w:val="24"/>
        </w:rPr>
      </w:pPr>
      <w:r>
        <w:rPr>
          <w:rFonts w:hint="eastAsia" w:ascii="宋体" w:hAnsi="宋体"/>
          <w:color w:val="000000"/>
          <w:sz w:val="24"/>
        </w:rPr>
        <w:t xml:space="preserve">    1.3 经评审委员会评审, 得分最高申请人作为中选人。</w:t>
      </w:r>
    </w:p>
    <w:p>
      <w:pPr>
        <w:spacing w:line="360" w:lineRule="auto"/>
        <w:rPr>
          <w:rFonts w:ascii="宋体" w:hAnsi="宋体"/>
          <w:color w:val="000000"/>
          <w:sz w:val="24"/>
        </w:rPr>
      </w:pPr>
      <w:r>
        <w:rPr>
          <w:rFonts w:hint="eastAsia" w:ascii="宋体" w:hAnsi="宋体"/>
          <w:color w:val="000000"/>
          <w:sz w:val="24"/>
        </w:rPr>
        <w:t xml:space="preserve">    </w:t>
      </w:r>
    </w:p>
    <w:p>
      <w:pPr>
        <w:rPr>
          <w:rFonts w:ascii="黑体" w:eastAsia="黑体"/>
          <w:b/>
          <w:sz w:val="28"/>
          <w:szCs w:val="28"/>
        </w:rPr>
      </w:pPr>
      <w:r>
        <w:rPr>
          <w:rFonts w:hint="eastAsia" w:ascii="黑体" w:eastAsia="黑体"/>
          <w:b/>
          <w:sz w:val="28"/>
          <w:szCs w:val="28"/>
        </w:rPr>
        <w:t>2.分值构成</w:t>
      </w:r>
    </w:p>
    <w:p>
      <w:pPr>
        <w:rPr>
          <w:rFonts w:ascii="黑体" w:eastAsia="黑体"/>
          <w:b/>
          <w:sz w:val="28"/>
          <w:szCs w:val="28"/>
        </w:rPr>
      </w:pP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9"/>
        <w:gridCol w:w="354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pacing w:line="360" w:lineRule="auto"/>
              <w:jc w:val="center"/>
              <w:rPr>
                <w:rFonts w:ascii="宋体" w:hAnsi="宋体"/>
                <w:b/>
                <w:color w:val="000000"/>
                <w:sz w:val="24"/>
              </w:rPr>
            </w:pPr>
            <w:r>
              <w:rPr>
                <w:rFonts w:hint="eastAsia" w:ascii="宋体" w:hAnsi="宋体"/>
                <w:b/>
                <w:color w:val="000000"/>
                <w:sz w:val="24"/>
              </w:rPr>
              <w:t>条款内容</w:t>
            </w:r>
          </w:p>
        </w:tc>
        <w:tc>
          <w:tcPr>
            <w:tcW w:w="709" w:type="dxa"/>
            <w:vAlign w:val="center"/>
          </w:tcPr>
          <w:p>
            <w:pPr>
              <w:spacing w:line="360" w:lineRule="auto"/>
              <w:jc w:val="center"/>
              <w:rPr>
                <w:rFonts w:ascii="宋体" w:hAnsi="宋体"/>
                <w:b/>
                <w:color w:val="000000"/>
                <w:sz w:val="24"/>
              </w:rPr>
            </w:pPr>
            <w:r>
              <w:rPr>
                <w:rFonts w:hint="eastAsia" w:ascii="宋体" w:hAnsi="宋体"/>
                <w:b/>
                <w:color w:val="000000"/>
                <w:sz w:val="24"/>
              </w:rPr>
              <w:t>序号</w:t>
            </w:r>
          </w:p>
        </w:tc>
        <w:tc>
          <w:tcPr>
            <w:tcW w:w="3544" w:type="dxa"/>
            <w:vAlign w:val="center"/>
          </w:tcPr>
          <w:p>
            <w:pPr>
              <w:spacing w:line="360" w:lineRule="auto"/>
              <w:jc w:val="center"/>
              <w:rPr>
                <w:rFonts w:ascii="宋体" w:hAnsi="宋体"/>
                <w:b/>
                <w:color w:val="000000"/>
                <w:sz w:val="24"/>
              </w:rPr>
            </w:pPr>
            <w:r>
              <w:rPr>
                <w:rFonts w:hint="eastAsia" w:ascii="宋体" w:hAnsi="宋体"/>
                <w:b/>
                <w:color w:val="000000"/>
                <w:sz w:val="24"/>
              </w:rPr>
              <w:t>编列内容</w:t>
            </w:r>
          </w:p>
        </w:tc>
        <w:tc>
          <w:tcPr>
            <w:tcW w:w="3969" w:type="dxa"/>
            <w:vAlign w:val="center"/>
          </w:tcPr>
          <w:p>
            <w:pPr>
              <w:spacing w:line="360" w:lineRule="auto"/>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color w:val="000000"/>
                <w:sz w:val="24"/>
              </w:rPr>
            </w:pPr>
            <w:r>
              <w:rPr>
                <w:rFonts w:hint="eastAsia" w:ascii="宋体" w:hAnsi="宋体"/>
                <w:color w:val="000000"/>
                <w:sz w:val="24"/>
              </w:rPr>
              <w:t>分值</w:t>
            </w:r>
          </w:p>
          <w:p>
            <w:pPr>
              <w:spacing w:line="360" w:lineRule="auto"/>
              <w:jc w:val="center"/>
              <w:rPr>
                <w:rFonts w:ascii="宋体" w:hAnsi="宋体"/>
                <w:color w:val="000000"/>
                <w:sz w:val="24"/>
              </w:rPr>
            </w:pPr>
            <w:r>
              <w:rPr>
                <w:rFonts w:hint="eastAsia" w:ascii="宋体" w:hAnsi="宋体"/>
                <w:color w:val="000000"/>
                <w:sz w:val="24"/>
              </w:rPr>
              <w:t>构成</w:t>
            </w:r>
          </w:p>
          <w:p>
            <w:pPr>
              <w:spacing w:line="360" w:lineRule="auto"/>
              <w:jc w:val="center"/>
              <w:rPr>
                <w:rFonts w:ascii="宋体" w:hAnsi="宋体"/>
                <w:color w:val="000000"/>
                <w:sz w:val="24"/>
              </w:rPr>
            </w:pPr>
            <w:r>
              <w:rPr>
                <w:rFonts w:hint="eastAsia" w:ascii="宋体" w:hAnsi="宋体"/>
                <w:color w:val="000000"/>
                <w:sz w:val="24"/>
              </w:rPr>
              <w:t>（总分100分）</w:t>
            </w:r>
          </w:p>
        </w:tc>
        <w:tc>
          <w:tcPr>
            <w:tcW w:w="709" w:type="dxa"/>
            <w:vAlign w:val="center"/>
          </w:tcPr>
          <w:p>
            <w:pPr>
              <w:spacing w:line="360" w:lineRule="auto"/>
              <w:jc w:val="center"/>
              <w:rPr>
                <w:rFonts w:ascii="宋体" w:hAnsi="宋体"/>
                <w:color w:val="000000"/>
                <w:sz w:val="24"/>
              </w:rPr>
            </w:pPr>
            <w:r>
              <w:rPr>
                <w:rFonts w:hint="eastAsia" w:ascii="宋体" w:hAnsi="宋体"/>
                <w:color w:val="000000"/>
                <w:sz w:val="24"/>
              </w:rPr>
              <w:t>1</w:t>
            </w:r>
          </w:p>
        </w:tc>
        <w:tc>
          <w:tcPr>
            <w:tcW w:w="3544" w:type="dxa"/>
            <w:vAlign w:val="center"/>
          </w:tcPr>
          <w:p>
            <w:pPr>
              <w:spacing w:line="360" w:lineRule="auto"/>
              <w:ind w:left="2"/>
              <w:rPr>
                <w:rFonts w:ascii="宋体" w:hAnsi="宋体"/>
                <w:color w:val="000000"/>
                <w:sz w:val="24"/>
              </w:rPr>
            </w:pPr>
            <w:r>
              <w:rPr>
                <w:rFonts w:hint="eastAsia" w:ascii="宋体" w:hAnsi="宋体"/>
                <w:color w:val="000000"/>
                <w:sz w:val="24"/>
              </w:rPr>
              <w:t xml:space="preserve">代理人资质： </w:t>
            </w:r>
            <w:r>
              <w:rPr>
                <w:rFonts w:hint="eastAsia" w:ascii="宋体" w:hAnsi="宋体"/>
                <w:color w:val="000000"/>
                <w:sz w:val="24"/>
                <w:u w:val="single"/>
              </w:rPr>
              <w:t xml:space="preserve"> 10</w:t>
            </w:r>
            <w:r>
              <w:rPr>
                <w:rFonts w:hint="eastAsia" w:ascii="宋体" w:hAnsi="宋体"/>
                <w:color w:val="000000"/>
                <w:sz w:val="24"/>
              </w:rPr>
              <w:t>分</w:t>
            </w:r>
          </w:p>
        </w:tc>
        <w:tc>
          <w:tcPr>
            <w:tcW w:w="3969" w:type="dxa"/>
            <w:vAlign w:val="center"/>
          </w:tcPr>
          <w:p>
            <w:pPr>
              <w:spacing w:line="360" w:lineRule="auto"/>
              <w:rPr>
                <w:rFonts w:ascii="宋体" w:hAnsi="宋体"/>
                <w:color w:val="000000"/>
                <w:sz w:val="24"/>
              </w:rPr>
            </w:pPr>
            <w:r>
              <w:rPr>
                <w:rFonts w:hint="eastAsia" w:ascii="宋体" w:hAnsi="宋体"/>
                <w:color w:val="000000"/>
                <w:sz w:val="24"/>
              </w:rPr>
              <w:t>具有工程招标甲级资质得10分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r>
              <w:rPr>
                <w:rFonts w:hint="eastAsia" w:ascii="宋体" w:hAnsi="宋体"/>
                <w:color w:val="000000"/>
                <w:sz w:val="24"/>
              </w:rPr>
              <w:t>2</w:t>
            </w:r>
          </w:p>
        </w:tc>
        <w:tc>
          <w:tcPr>
            <w:tcW w:w="3544" w:type="dxa"/>
            <w:vAlign w:val="center"/>
          </w:tcPr>
          <w:p>
            <w:pPr>
              <w:spacing w:line="360" w:lineRule="auto"/>
              <w:ind w:left="2"/>
              <w:rPr>
                <w:rFonts w:ascii="宋体" w:hAnsi="宋体"/>
                <w:color w:val="000000"/>
                <w:sz w:val="24"/>
              </w:rPr>
            </w:pPr>
            <w:r>
              <w:rPr>
                <w:rFonts w:hint="eastAsia" w:ascii="宋体" w:hAnsi="宋体"/>
                <w:color w:val="000000"/>
                <w:sz w:val="24"/>
              </w:rPr>
              <w:t xml:space="preserve">招标代理业绩： </w:t>
            </w:r>
            <w:r>
              <w:rPr>
                <w:rFonts w:hint="eastAsia" w:ascii="宋体" w:hAnsi="宋体"/>
                <w:color w:val="000000"/>
                <w:sz w:val="24"/>
                <w:u w:val="single"/>
              </w:rPr>
              <w:t xml:space="preserve"> 20 </w:t>
            </w:r>
            <w:r>
              <w:rPr>
                <w:rFonts w:hint="eastAsia" w:ascii="宋体" w:hAnsi="宋体"/>
                <w:color w:val="000000"/>
                <w:sz w:val="24"/>
              </w:rPr>
              <w:t>分</w:t>
            </w:r>
          </w:p>
        </w:tc>
        <w:tc>
          <w:tcPr>
            <w:tcW w:w="3969" w:type="dxa"/>
            <w:vAlign w:val="center"/>
          </w:tcPr>
          <w:p>
            <w:pPr>
              <w:spacing w:line="360" w:lineRule="auto"/>
              <w:rPr>
                <w:rFonts w:ascii="宋体" w:hAnsi="宋体"/>
                <w:color w:val="000000"/>
                <w:sz w:val="24"/>
              </w:rPr>
            </w:pPr>
            <w:r>
              <w:rPr>
                <w:rFonts w:hint="eastAsia" w:ascii="宋体" w:hAnsi="宋体"/>
                <w:color w:val="000000"/>
                <w:sz w:val="24"/>
              </w:rPr>
              <w:t>一个采购业绩得2分，满分20分。（附合同复印件）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r>
              <w:rPr>
                <w:rFonts w:hint="eastAsia" w:ascii="宋体" w:hAnsi="宋体"/>
                <w:color w:val="000000"/>
                <w:sz w:val="24"/>
              </w:rPr>
              <w:t>3</w:t>
            </w:r>
          </w:p>
        </w:tc>
        <w:tc>
          <w:tcPr>
            <w:tcW w:w="3544" w:type="dxa"/>
            <w:vAlign w:val="center"/>
          </w:tcPr>
          <w:p>
            <w:pPr>
              <w:spacing w:line="360" w:lineRule="auto"/>
              <w:ind w:left="2"/>
              <w:rPr>
                <w:rFonts w:ascii="宋体" w:hAnsi="宋体"/>
                <w:color w:val="000000"/>
                <w:sz w:val="24"/>
              </w:rPr>
            </w:pPr>
            <w:r>
              <w:rPr>
                <w:rFonts w:hint="eastAsia" w:ascii="宋体" w:hAnsi="宋体"/>
                <w:color w:val="000000"/>
                <w:sz w:val="24"/>
              </w:rPr>
              <w:t>代理收费：</w:t>
            </w:r>
            <w:r>
              <w:rPr>
                <w:rFonts w:hint="eastAsia" w:ascii="宋体" w:hAnsi="宋体"/>
                <w:color w:val="000000"/>
                <w:sz w:val="24"/>
                <w:u w:val="single"/>
              </w:rPr>
              <w:t>30分</w:t>
            </w:r>
          </w:p>
        </w:tc>
        <w:tc>
          <w:tcPr>
            <w:tcW w:w="3969" w:type="dxa"/>
            <w:vAlign w:val="center"/>
          </w:tcPr>
          <w:p>
            <w:pPr>
              <w:spacing w:line="360" w:lineRule="auto"/>
              <w:rPr>
                <w:rFonts w:ascii="宋体" w:hAnsi="宋体"/>
                <w:color w:val="000000"/>
                <w:sz w:val="24"/>
              </w:rPr>
            </w:pPr>
            <w:r>
              <w:rPr>
                <w:rFonts w:hint="eastAsia" w:ascii="宋体" w:hAnsi="宋体"/>
                <w:color w:val="000000"/>
                <w:sz w:val="24"/>
              </w:rPr>
              <w:t>报价下浮20%得满分，每高1%扣1分，扣完为止。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r>
              <w:rPr>
                <w:rFonts w:hint="eastAsia" w:ascii="宋体" w:hAnsi="宋体"/>
                <w:color w:val="000000"/>
                <w:sz w:val="24"/>
              </w:rPr>
              <w:t>4</w:t>
            </w:r>
          </w:p>
        </w:tc>
        <w:tc>
          <w:tcPr>
            <w:tcW w:w="3544" w:type="dxa"/>
            <w:vAlign w:val="center"/>
          </w:tcPr>
          <w:p>
            <w:pPr>
              <w:spacing w:line="360" w:lineRule="auto"/>
              <w:ind w:left="2"/>
              <w:rPr>
                <w:rFonts w:ascii="宋体" w:hAnsi="宋体"/>
                <w:color w:val="000000"/>
                <w:sz w:val="24"/>
              </w:rPr>
            </w:pPr>
            <w:r>
              <w:rPr>
                <w:rFonts w:hint="eastAsia" w:ascii="宋体" w:hAnsi="宋体"/>
                <w:color w:val="000000"/>
                <w:sz w:val="24"/>
              </w:rPr>
              <w:t>政府采购考核情况</w:t>
            </w:r>
            <w:bookmarkStart w:id="0" w:name="_GoBack"/>
            <w:bookmarkEnd w:id="0"/>
            <w:r>
              <w:rPr>
                <w:rFonts w:hint="eastAsia" w:ascii="宋体" w:hAnsi="宋体"/>
                <w:color w:val="000000"/>
                <w:sz w:val="24"/>
              </w:rPr>
              <w:t xml:space="preserve">： </w:t>
            </w:r>
            <w:r>
              <w:rPr>
                <w:rFonts w:hint="eastAsia" w:ascii="宋体" w:hAnsi="宋体"/>
                <w:color w:val="000000"/>
                <w:sz w:val="24"/>
                <w:u w:val="single"/>
              </w:rPr>
              <w:t xml:space="preserve"> 20 </w:t>
            </w:r>
            <w:r>
              <w:rPr>
                <w:rFonts w:hint="eastAsia" w:ascii="宋体" w:hAnsi="宋体"/>
                <w:color w:val="000000"/>
                <w:sz w:val="24"/>
              </w:rPr>
              <w:t>分</w:t>
            </w:r>
          </w:p>
        </w:tc>
        <w:tc>
          <w:tcPr>
            <w:tcW w:w="3969" w:type="dxa"/>
            <w:vAlign w:val="center"/>
          </w:tcPr>
          <w:p>
            <w:pPr>
              <w:spacing w:line="360" w:lineRule="auto"/>
              <w:rPr>
                <w:rFonts w:ascii="宋体" w:hAnsi="宋体"/>
                <w:color w:val="000000"/>
                <w:sz w:val="24"/>
              </w:rPr>
            </w:pPr>
            <w:r>
              <w:rPr>
                <w:rFonts w:hint="eastAsia" w:ascii="宋体" w:hAnsi="宋体"/>
                <w:color w:val="000000"/>
                <w:sz w:val="24"/>
              </w:rPr>
              <w:t>2016年度四川省政府采购代理机构监督检查、考核以及政府采购执行情况绩效评价，得85分以上的20分。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r>
              <w:rPr>
                <w:rFonts w:hint="eastAsia" w:ascii="宋体" w:hAnsi="宋体"/>
                <w:color w:val="000000"/>
                <w:sz w:val="24"/>
              </w:rPr>
              <w:t>6</w:t>
            </w:r>
          </w:p>
        </w:tc>
        <w:tc>
          <w:tcPr>
            <w:tcW w:w="3544" w:type="dxa"/>
            <w:vAlign w:val="center"/>
          </w:tcPr>
          <w:p>
            <w:pPr>
              <w:spacing w:line="360" w:lineRule="auto"/>
              <w:ind w:left="2"/>
              <w:rPr>
                <w:rFonts w:ascii="宋体" w:hAnsi="宋体"/>
                <w:color w:val="000000"/>
                <w:sz w:val="24"/>
              </w:rPr>
            </w:pPr>
            <w:r>
              <w:rPr>
                <w:rFonts w:hint="eastAsia" w:ascii="宋体" w:hAnsi="宋体"/>
                <w:color w:val="000000"/>
                <w:sz w:val="24"/>
              </w:rPr>
              <w:t xml:space="preserve">拟派项目人员： </w:t>
            </w:r>
            <w:r>
              <w:rPr>
                <w:rFonts w:hint="eastAsia" w:ascii="宋体" w:hAnsi="宋体"/>
                <w:color w:val="000000"/>
                <w:sz w:val="24"/>
                <w:u w:val="single"/>
              </w:rPr>
              <w:t xml:space="preserve">  20 </w:t>
            </w:r>
            <w:r>
              <w:rPr>
                <w:rFonts w:hint="eastAsia" w:ascii="宋体" w:hAnsi="宋体"/>
                <w:color w:val="000000"/>
                <w:sz w:val="24"/>
              </w:rPr>
              <w:t>分</w:t>
            </w:r>
          </w:p>
        </w:tc>
        <w:tc>
          <w:tcPr>
            <w:tcW w:w="3969" w:type="dxa"/>
            <w:vAlign w:val="center"/>
          </w:tcPr>
          <w:p>
            <w:pPr>
              <w:spacing w:line="360" w:lineRule="auto"/>
              <w:rPr>
                <w:rFonts w:ascii="宋体" w:hAnsi="宋体"/>
                <w:color w:val="000000"/>
                <w:sz w:val="24"/>
              </w:rPr>
            </w:pPr>
            <w:r>
              <w:rPr>
                <w:rFonts w:hint="eastAsia" w:ascii="宋体" w:hAnsi="宋体"/>
                <w:color w:val="000000"/>
                <w:sz w:val="24"/>
              </w:rPr>
              <w:t>1、项目负责人：具有招标师资格同时具备经济管理咨询师（招标类）资格同时具备高级职称的得10分。</w:t>
            </w:r>
          </w:p>
          <w:p>
            <w:pPr>
              <w:spacing w:line="360" w:lineRule="auto"/>
              <w:rPr>
                <w:rFonts w:ascii="宋体" w:hAnsi="宋体"/>
                <w:color w:val="000000"/>
                <w:sz w:val="24"/>
              </w:rPr>
            </w:pPr>
            <w:r>
              <w:rPr>
                <w:rFonts w:hint="eastAsia" w:ascii="宋体" w:hAnsi="宋体"/>
                <w:color w:val="000000"/>
                <w:sz w:val="24"/>
              </w:rPr>
              <w:t>2、具有四川省政府采购代理机构专职人员岗前培训和继续教育培训证明1个得2分，共10分</w:t>
            </w:r>
          </w:p>
        </w:tc>
      </w:tr>
    </w:tbl>
    <w:p>
      <w:pPr>
        <w:spacing w:line="360" w:lineRule="auto"/>
        <w:rPr>
          <w:rFonts w:ascii="宋体" w:hAnsi="宋体"/>
          <w:color w:val="000000"/>
          <w:sz w:val="24"/>
        </w:rPr>
      </w:pPr>
    </w:p>
    <w:p>
      <w:pPr>
        <w:pStyle w:val="2"/>
        <w:spacing w:line="440" w:lineRule="exact"/>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E0A06"/>
    <w:rsid w:val="000D207A"/>
    <w:rsid w:val="0018361F"/>
    <w:rsid w:val="008C7532"/>
    <w:rsid w:val="0092315E"/>
    <w:rsid w:val="00923DC8"/>
    <w:rsid w:val="00DA5D7F"/>
    <w:rsid w:val="0206632D"/>
    <w:rsid w:val="13D44D1C"/>
    <w:rsid w:val="1B764F7C"/>
    <w:rsid w:val="1E06658A"/>
    <w:rsid w:val="3A204B4C"/>
    <w:rsid w:val="428E0A06"/>
    <w:rsid w:val="59DA6B73"/>
    <w:rsid w:val="5A1924BD"/>
    <w:rsid w:val="6F422A20"/>
    <w:rsid w:val="7BC76F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9"/>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uiPriority w:val="0"/>
    <w:rPr>
      <w:kern w:val="2"/>
      <w:sz w:val="18"/>
      <w:szCs w:val="18"/>
    </w:rPr>
  </w:style>
  <w:style w:type="character" w:customStyle="1" w:styleId="9">
    <w:name w:val="标题 3 Char"/>
    <w:basedOn w:val="5"/>
    <w:link w:val="2"/>
    <w:uiPriority w:val="0"/>
    <w:rPr>
      <w:rFonts w:ascii="Times New Roman" w:hAnsi="Times New Roman" w:eastAsia="宋体" w:cs="Times New Roman"/>
      <w:b/>
      <w:kern w:val="2"/>
      <w:sz w:val="32"/>
    </w:rPr>
  </w:style>
  <w:style w:type="paragraph" w:customStyle="1" w:styleId="10">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918</Words>
  <Characters>5236</Characters>
  <Lines>43</Lines>
  <Paragraphs>12</Paragraphs>
  <TotalTime>26</TotalTime>
  <ScaleCrop>false</ScaleCrop>
  <LinksUpToDate>false</LinksUpToDate>
  <CharactersWithSpaces>6142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2018-03-30T02:13:00Z</dcterms:created>
  <dc:creator>锤炼传奇</dc:creator>
  <cp:lastModifiedBy>锤炼传奇</cp:lastModifiedBy>
  <dcterms:modified xsi:type="dcterms:W3CDTF">2018-09-29T13:25:14Z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